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DD" w:rsidRPr="00276FCA" w:rsidRDefault="009351DD" w:rsidP="00276FCA">
      <w:pPr>
        <w:pStyle w:val="Heading2"/>
        <w:tabs>
          <w:tab w:val="center" w:pos="4800"/>
          <w:tab w:val="right" w:pos="9500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76FCA">
        <w:rPr>
          <w:rFonts w:ascii="Times New Roman" w:hAnsi="Times New Roman" w:cs="Times New Roman"/>
          <w:sz w:val="20"/>
          <w:szCs w:val="20"/>
        </w:rPr>
        <w:t xml:space="preserve">Appendix A: </w:t>
      </w:r>
      <w:r w:rsidRPr="00276FCA">
        <w:rPr>
          <w:rFonts w:ascii="Times New Roman" w:hAnsi="Times New Roman" w:cs="Times New Roman"/>
          <w:b w:val="0"/>
          <w:sz w:val="20"/>
          <w:szCs w:val="20"/>
        </w:rPr>
        <w:t xml:space="preserve">Quantum-mechanical background of the formula (33) applied for the transition time </w:t>
      </w:r>
      <w:r w:rsidRPr="00276FCA">
        <w:rPr>
          <w:rFonts w:ascii="Times New Roman" w:hAnsi="Times New Roman" w:cs="Times New Roman"/>
          <w:b w:val="0"/>
          <w:i/>
          <w:sz w:val="20"/>
          <w:szCs w:val="20"/>
        </w:rPr>
        <w:t>Δt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We assume that for any time-dependent perturbation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ΔΗ(t)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of an originally unperturbed time-independent Hamiltonian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H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0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does hold the Schroedinger equation: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3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33.3pt" o:ole="">
            <v:imagedata r:id="rId5" o:title=""/>
          </v:shape>
          <o:OLEObject Type="Embed" ProgID="Equation.3" ShapeID="_x0000_i1025" DrawAspect="Content" ObjectID="_1512467851" r:id="rId6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(1)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where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2"/>
          <w:sz w:val="20"/>
          <w:szCs w:val="20"/>
        </w:rPr>
        <w:object w:dxaOrig="2160" w:dyaOrig="380">
          <v:shape id="_x0000_i1026" type="#_x0000_t75" style="width:108.55pt;height:18.8pt" o:ole="">
            <v:imagedata r:id="rId7" o:title=""/>
          </v:shape>
          <o:OLEObject Type="Embed" ProgID="Equation.3" ShapeID="_x0000_i1026" DrawAspect="Content" ObjectID="_1512467852" r:id="rId8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(2)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In general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ψ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should depend on time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Let us differentiate the both sides of the first of equations present in (1) with respect to time. This gives 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6920" w:dyaOrig="660">
          <v:shape id="_x0000_i1027" type="#_x0000_t75" style="width:346.05pt;height:33.3pt" o:ole="">
            <v:imagedata r:id="rId9" o:title=""/>
          </v:shape>
          <o:OLEObject Type="Embed" ProgID="Equation.3" ShapeID="_x0000_i1027" DrawAspect="Content" ObjectID="_1512467853" r:id="rId10"/>
        </w:objec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680" w:dyaOrig="660">
          <v:shape id="_x0000_i1028" type="#_x0000_t75" style="width:133.8pt;height:33.3pt" o:ole="">
            <v:imagedata r:id="rId11" o:title=""/>
          </v:shape>
          <o:OLEObject Type="Embed" ProgID="Equation.3" ShapeID="_x0000_i1028" DrawAspect="Content" ObjectID="_1512467854" r:id="rId12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(3)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where it has been taken into account in the second equation in (1) that the relation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2"/>
          <w:sz w:val="20"/>
          <w:szCs w:val="20"/>
        </w:rPr>
        <w:object w:dxaOrig="2400" w:dyaOrig="380">
          <v:shape id="_x0000_i1029" type="#_x0000_t75" style="width:120.35pt;height:18.8pt" o:ole="">
            <v:imagedata r:id="rId13" o:title=""/>
          </v:shape>
          <o:OLEObject Type="Embed" ProgID="Equation.3" ShapeID="_x0000_i1029" DrawAspect="Content" ObjectID="_1512467855" r:id="rId14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(4)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satisfied. E</w:t>
      </w:r>
      <w:r w:rsidRPr="00276FCA">
        <w:rPr>
          <w:rFonts w:ascii="Times New Roman" w:hAnsi="Times New Roman" w:cs="Times New Roman"/>
          <w:noProof/>
          <w:sz w:val="20"/>
          <w:szCs w:val="20"/>
          <w:vertAlign w:val="subscript"/>
        </w:rPr>
        <w:t>0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in (4) is a time-independent eigenvalue due to the unperturbed Hamiltonian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H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0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, but the perturbation energy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ΔΕ</w:t>
      </w:r>
      <w:r w:rsidRPr="00276FCA">
        <w:rPr>
          <w:rFonts w:ascii="Times New Roman" w:hAnsi="Times New Roman" w:cs="Times New Roman"/>
          <w:noProof/>
          <w:position w:val="-4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>may depend on time.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We assume that the dependence of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ΔΕ</w:t>
      </w:r>
      <w:r w:rsidRPr="00276FCA">
        <w:rPr>
          <w:rFonts w:ascii="Times New Roman" w:hAnsi="Times New Roman" w:cs="Times New Roman"/>
          <w:noProof/>
          <w:position w:val="-4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on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essential only at small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if the time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t=0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considered as a beginning of the action of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ΔΗ(t)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. But at large t the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ψ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may become a stationary wave function, so the energy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position w:val="-4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in (4) ceases to be dependent on time leading to a constant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. In this case, because of (1), we obtain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3680" w:dyaOrig="660">
          <v:shape id="_x0000_i1030" type="#_x0000_t75" style="width:184.3pt;height:33.3pt" o:ole="">
            <v:imagedata r:id="rId15" o:title=""/>
          </v:shape>
          <o:OLEObject Type="Embed" ProgID="Equation.3" ShapeID="_x0000_i1030" DrawAspect="Content" ObjectID="_1512467856" r:id="rId16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(5)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or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500" w:dyaOrig="660">
          <v:shape id="_x0000_i1031" type="#_x0000_t75" style="width:125.75pt;height:33.3pt" o:ole="">
            <v:imagedata r:id="rId17" o:title=""/>
          </v:shape>
          <o:OLEObject Type="Embed" ProgID="Equation.3" ShapeID="_x0000_i1031" DrawAspect="Content" ObjectID="_1512467857" r:id="rId18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(A5a)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The last two relations make the term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ΔΕ/Δt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in (3) negligible at large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 xml:space="preserve"> 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(Ε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=Const)</w:t>
      </w:r>
      <w:r w:rsidRPr="00276FC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For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=Const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we obtain from (A5a) the equation for the harmonic oscillator having its solution equal to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ψ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which is periodic in time with frequency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1200" w:dyaOrig="660">
          <v:shape id="_x0000_i1032" type="#_x0000_t75" style="width:60.2pt;height:33.3pt" o:ole="">
            <v:imagedata r:id="rId19" o:title=""/>
          </v:shape>
          <o:OLEObject Type="Embed" ProgID="Equation.3" ShapeID="_x0000_i1032" DrawAspect="Content" ObjectID="_1512467858" r:id="rId20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(6)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 well-known property of the harmonic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ψ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per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that the average over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of any product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720" w:dyaOrig="360">
          <v:shape id="_x0000_i1033" type="#_x0000_t75" style="width:36.55pt;height:18.25pt" o:ole="">
            <v:imagedata r:id="rId21" o:title=""/>
          </v:shape>
          <o:OLEObject Type="Embed" ProgID="Equation.3" ShapeID="_x0000_i1033" DrawAspect="Content" ObjectID="_1512467859" r:id="rId22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(7)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Where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A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an arbitrary constant term, should vanish. Evidently because of (A5a) the same vanishing property applies to the time average of the product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980" w:dyaOrig="660">
          <v:shape id="_x0000_i1034" type="#_x0000_t75" style="width:48.9pt;height:33.3pt" o:ole="">
            <v:imagedata r:id="rId23" o:title=""/>
          </v:shape>
          <o:OLEObject Type="Embed" ProgID="Equation.3" ShapeID="_x0000_i1034" DrawAspect="Content" ObjectID="_1512467860" r:id="rId24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(A7a)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Our aim is to apply the averaging process over time to the equation (3). This process eliminates the second time derivative entering the beginning of (3) giving the equation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3860" w:dyaOrig="660">
          <v:shape id="_x0000_i1035" type="#_x0000_t75" style="width:192.9pt;height:33.3pt" o:ole="">
            <v:imagedata r:id="rId25" o:title=""/>
          </v:shape>
          <o:OLEObject Type="Embed" ProgID="Equation.3" ShapeID="_x0000_i1035" DrawAspect="Content" ObjectID="_1512467861" r:id="rId26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(8)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But because of a constant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A=E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0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2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and the inferences on the formula (7), the equation (8) becomes reduced into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3739" w:dyaOrig="660">
          <v:shape id="_x0000_i1036" type="#_x0000_t75" style="width:186.45pt;height:33.3pt" o:ole="">
            <v:imagedata r:id="rId27" o:title=""/>
          </v:shape>
          <o:OLEObject Type="Embed" ProgID="Equation.3" ShapeID="_x0000_i1036" DrawAspect="Content" ObjectID="_1512467862" r:id="rId28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(A8a)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from which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3140" w:dyaOrig="620">
          <v:shape id="_x0000_i1037" type="#_x0000_t75" style="width:156.35pt;height:30.65pt" o:ole="">
            <v:imagedata r:id="rId29" o:title=""/>
          </v:shape>
          <o:OLEObject Type="Embed" ProgID="Equation.3" ShapeID="_x0000_i1037" DrawAspect="Content" ObjectID="_1512467863" r:id="rId30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(A8b)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Since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E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0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a constant, another averaging process over time applied to (A8b) eliminates the central term on its left-hand side. This gives the relation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1260" w:dyaOrig="620">
          <v:shape id="_x0000_i1038" type="#_x0000_t75" style="width:63.4pt;height:30.65pt" o:ole="">
            <v:imagedata r:id="rId31" o:title=""/>
          </v:shape>
          <o:OLEObject Type="Embed" ProgID="Equation.3" ShapeID="_x0000_i1038" DrawAspect="Content" ObjectID="_1512467864" r:id="rId32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(9)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which differs from that obtained in (33) only by a constant multiplier before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ΔΕ.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9351DD" w:rsidRPr="00276FCA" w:rsidRDefault="009351DD" w:rsidP="00276FCA">
      <w:pPr>
        <w:pStyle w:val="Heading2"/>
        <w:tabs>
          <w:tab w:val="center" w:pos="4800"/>
          <w:tab w:val="right" w:pos="9500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76FCA">
        <w:rPr>
          <w:rFonts w:ascii="Times New Roman" w:hAnsi="Times New Roman" w:cs="Times New Roman"/>
          <w:sz w:val="20"/>
          <w:szCs w:val="20"/>
        </w:rPr>
        <w:t xml:space="preserve">Appendix B: </w:t>
      </w:r>
      <w:r w:rsidRPr="00276FCA">
        <w:rPr>
          <w:rFonts w:ascii="Times New Roman" w:hAnsi="Times New Roman" w:cs="Times New Roman"/>
          <w:b w:val="0"/>
          <w:sz w:val="20"/>
          <w:szCs w:val="20"/>
        </w:rPr>
        <w:t>Comparison of the present theory with quantum-mechanical results for the hydrogen atom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A typical application of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Δt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an expense rate of energy. With the aid of (33) we have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2040" w:dyaOrig="620">
          <v:shape id="_x0000_i1039" type="#_x0000_t75" style="width:102.1pt;height:30.65pt" o:ole="">
            <v:imagedata r:id="rId33" o:title=""/>
          </v:shape>
          <o:OLEObject Type="Embed" ProgID="Equation.3" ShapeID="_x0000_i1039" DrawAspect="Content" ObjectID="_1512467865" r:id="rId34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(1)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Evidently in virtue of (32) the emission time rate of the energy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ΔΕ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is equal to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30"/>
          <w:sz w:val="20"/>
          <w:szCs w:val="20"/>
        </w:rPr>
        <w:object w:dxaOrig="1520" w:dyaOrig="720">
          <v:shape id="_x0000_i1040" type="#_x0000_t75" style="width:75.75pt;height:36.55pt" o:ole="">
            <v:imagedata r:id="rId35" o:title=""/>
          </v:shape>
          <o:OLEObject Type="Embed" ProgID="Equation.3" ShapeID="_x0000_i1040" DrawAspect="Content" ObjectID="_1512467866" r:id="rId36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(2)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This rate can be compared with quantum-mechanical results [15]. Since (2) is proportional to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(ΔΕ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bscript"/>
        </w:rPr>
        <w:t>n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)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2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in </w:t>
      </w:r>
      <w:r w:rsidR="008169AB" w:rsidRPr="00276FCA">
        <w:rPr>
          <w:rFonts w:ascii="Times New Roman" w:hAnsi="Times New Roman" w:cs="Times New Roman"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able 1 we present the factors entering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(ΔΕ)</w:t>
      </w:r>
      <w:r w:rsidRPr="00276FCA">
        <w:rPr>
          <w:rFonts w:ascii="Times New Roman" w:hAnsi="Times New Roman" w:cs="Times New Roman"/>
          <w:i/>
          <w:noProof/>
          <w:sz w:val="20"/>
          <w:szCs w:val="20"/>
          <w:vertAlign w:val="superscript"/>
        </w:rPr>
        <w:t>2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dependent on n, i.e. the expressions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32"/>
          <w:sz w:val="20"/>
          <w:szCs w:val="20"/>
        </w:rPr>
        <w:object w:dxaOrig="2500" w:dyaOrig="800">
          <v:shape id="_x0000_i1041" type="#_x0000_t75" style="width:125.75pt;height:40.3pt" o:ole="">
            <v:imagedata r:id="rId37" o:title=""/>
          </v:shape>
          <o:OLEObject Type="Embed" ProgID="Equation.3" ShapeID="_x0000_i1041" DrawAspect="Content" ObjectID="_1512467867" r:id="rId38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(3)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 calculated according to (17), for the levels beginning with n</w:t>
      </w:r>
      <w:r w:rsidR="00954A36"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>=</w:t>
      </w:r>
      <w:r w:rsidR="00954A36"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>1 up to n</w:t>
      </w:r>
      <w:r w:rsidR="00954A36"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>=</w:t>
      </w:r>
      <w:r w:rsidR="00954A36"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76FCA">
        <w:rPr>
          <w:rFonts w:ascii="Times New Roman" w:hAnsi="Times New Roman" w:cs="Times New Roman"/>
          <w:noProof/>
          <w:sz w:val="20"/>
          <w:szCs w:val="20"/>
        </w:rPr>
        <w:t>5.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The quantum-mechanical results for the total transition probabilities between the quantum states 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320" w:dyaOrig="320">
          <v:shape id="_x0000_i1042" type="#_x0000_t75" style="width:65.55pt;height:15.6pt" o:ole="">
            <v:imagedata r:id="rId39" o:title=""/>
          </v:shape>
          <o:OLEObject Type="Embed" ProgID="Equation.3" ShapeID="_x0000_i1042" DrawAspect="Content" ObjectID="_1512467868" r:id="rId40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(4)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Where n = 1,2,3,4 and 5 and probabilities are expressed in 10</w:t>
      </w:r>
      <w:r w:rsidRPr="00276FCA">
        <w:rPr>
          <w:rFonts w:ascii="Times New Roman" w:hAnsi="Times New Roman" w:cs="Times New Roman"/>
          <w:noProof/>
          <w:sz w:val="20"/>
          <w:szCs w:val="20"/>
          <w:vertAlign w:val="superscript"/>
        </w:rPr>
        <w:t>8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sec</w:t>
      </w:r>
      <w:r w:rsidRPr="00276FCA">
        <w:rPr>
          <w:rFonts w:ascii="Times New Roman" w:hAnsi="Times New Roman" w:cs="Times New Roman"/>
          <w:noProof/>
          <w:sz w:val="20"/>
          <w:szCs w:val="20"/>
          <w:vertAlign w:val="superscript"/>
        </w:rPr>
        <w:t>-1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units, are [15]: 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740" w:dyaOrig="320">
          <v:shape id="_x0000_i1043" type="#_x0000_t75" style="width:87.05pt;height:15.6pt" o:ole="">
            <v:imagedata r:id="rId41" o:title=""/>
          </v:shape>
          <o:OLEObject Type="Embed" ProgID="Equation.3" ShapeID="_x0000_i1043" DrawAspect="Content" ObjectID="_1512467869" r:id="rId42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(5)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660" w:dyaOrig="320">
          <v:shape id="_x0000_i1044" type="#_x0000_t75" style="width:83.3pt;height:15.6pt" o:ole="">
            <v:imagedata r:id="rId43" o:title=""/>
          </v:shape>
          <o:OLEObject Type="Embed" ProgID="Equation.3" ShapeID="_x0000_i1044" DrawAspect="Content" ObjectID="_1512467870" r:id="rId44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(6)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780" w:dyaOrig="320">
          <v:shape id="_x0000_i1045" type="#_x0000_t75" style="width:89.75pt;height:15.6pt" o:ole="">
            <v:imagedata r:id="rId45" o:title=""/>
          </v:shape>
          <o:OLEObject Type="Embed" ProgID="Equation.3" ShapeID="_x0000_i1045" DrawAspect="Content" ObjectID="_1512467871" r:id="rId46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(7)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900" w:dyaOrig="320">
          <v:shape id="_x0000_i1046" type="#_x0000_t75" style="width:95.1pt;height:15.6pt" o:ole="">
            <v:imagedata r:id="rId47" o:title=""/>
          </v:shape>
          <o:OLEObject Type="Embed" ProgID="Equation.3" ShapeID="_x0000_i1046" DrawAspect="Content" ObjectID="_1512467872" r:id="rId48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(8)</w:t>
      </w:r>
    </w:p>
    <w:p w:rsidR="009351DD" w:rsidRPr="00276FCA" w:rsidRDefault="009351DD" w:rsidP="00276FCA">
      <w:pPr>
        <w:tabs>
          <w:tab w:val="left" w:pos="15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ab/>
      </w:r>
      <w:r w:rsidRPr="00276FCA">
        <w:rPr>
          <w:rFonts w:ascii="Times New Roman" w:hAnsi="Times New Roman" w:cs="Times New Roman"/>
          <w:noProof/>
          <w:position w:val="-10"/>
          <w:sz w:val="20"/>
          <w:szCs w:val="20"/>
        </w:rPr>
        <w:object w:dxaOrig="1880" w:dyaOrig="320">
          <v:shape id="_x0000_i1047" type="#_x0000_t75" style="width:94.05pt;height:15.6pt" o:ole="">
            <v:imagedata r:id="rId49" o:title=""/>
          </v:shape>
          <o:OLEObject Type="Embed" ProgID="Equation.3" ShapeID="_x0000_i1047" DrawAspect="Content" ObjectID="_1512467873" r:id="rId50"/>
        </w:object>
      </w:r>
      <w:r w:rsidRPr="00276FCA">
        <w:rPr>
          <w:rFonts w:ascii="Times New Roman" w:hAnsi="Times New Roman" w:cs="Times New Roman"/>
          <w:noProof/>
          <w:sz w:val="20"/>
          <w:szCs w:val="20"/>
        </w:rPr>
        <w:tab/>
        <w:t>(9)</w:t>
      </w: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351DD" w:rsidRPr="00276FCA" w:rsidRDefault="009351DD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In </w:t>
      </w:r>
      <w:r w:rsidR="008169AB" w:rsidRPr="00276FCA">
        <w:rPr>
          <w:rFonts w:ascii="Times New Roman" w:hAnsi="Times New Roman" w:cs="Times New Roman"/>
          <w:noProof/>
          <w:sz w:val="20"/>
          <w:szCs w:val="20"/>
        </w:rPr>
        <w:t>t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able 2 the ratios of (3), calculated for different pairs of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n+1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, are compared with the ratios of the quantum-mechanical data obtained for the same pairs of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n+1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entering (5)-(9). A parallelism of the quantum-mechanical results with those calculated from the present semiclassical theory is evident.</w:t>
      </w:r>
    </w:p>
    <w:p w:rsidR="00AC4353" w:rsidRPr="00276FCA" w:rsidRDefault="00AC4353" w:rsidP="00276F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b/>
          <w:noProof/>
          <w:sz w:val="20"/>
          <w:szCs w:val="20"/>
        </w:rPr>
        <w:t>Table 1</w:t>
      </w:r>
      <w:r w:rsidRPr="00276FCA">
        <w:rPr>
          <w:rFonts w:ascii="Times New Roman" w:hAnsi="Times New Roman" w:cs="Times New Roman"/>
          <w:noProof/>
          <w:sz w:val="20"/>
          <w:szCs w:val="20"/>
        </w:rPr>
        <w:t>: Expression (3) entering (Δ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Ε</w:t>
      </w:r>
      <w:r w:rsidRPr="00276FCA">
        <w:rPr>
          <w:rFonts w:ascii="Times New Roman" w:hAnsi="Times New Roman" w:cs="Times New Roman"/>
          <w:noProof/>
          <w:sz w:val="20"/>
          <w:szCs w:val="20"/>
          <w:vertAlign w:val="subscript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)</w:t>
      </w:r>
      <w:r w:rsidRPr="00276FCA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2 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in (2) calculated for different quantum levels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</w:tblGrid>
      <w:tr w:rsidR="00276FCA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>Expression (B3)</w:t>
            </w:r>
          </w:p>
        </w:tc>
      </w:tr>
      <w:tr w:rsidR="00276FCA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39" w:dyaOrig="260">
                <v:shape id="_x0000_i1085" type="#_x0000_t75" style="width:6.45pt;height:12.9pt" o:ole="">
                  <v:imagedata r:id="rId51" o:title=""/>
                </v:shape>
                <o:OLEObject Type="Embed" ProgID="Equation.3" ShapeID="_x0000_i1085" DrawAspect="Content" ObjectID="_1512467874" r:id="rId52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20" w:dyaOrig="360">
                <v:shape id="_x0000_i1048" type="#_x0000_t75" style="width:31.15pt;height:18.25pt" o:ole="">
                  <v:imagedata r:id="rId53" o:title=""/>
                </v:shape>
                <o:OLEObject Type="Embed" ProgID="Equation.3" ShapeID="_x0000_i1048" DrawAspect="Content" ObjectID="_1512467875" r:id="rId54"/>
              </w:object>
            </w:r>
          </w:p>
        </w:tc>
      </w:tr>
      <w:tr w:rsidR="00276FCA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49" type="#_x0000_t75" style="width:10.2pt;height:12.9pt" o:ole="">
                  <v:imagedata r:id="rId55" o:title=""/>
                </v:shape>
                <o:OLEObject Type="Embed" ProgID="Equation.3" ShapeID="_x0000_i1049" DrawAspect="Content" ObjectID="_1512467876" r:id="rId56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40" w:dyaOrig="360">
                <v:shape id="_x0000_i1050" type="#_x0000_t75" style="width:36.55pt;height:18.25pt" o:ole="">
                  <v:imagedata r:id="rId57" o:title=""/>
                </v:shape>
                <o:OLEObject Type="Embed" ProgID="Equation.3" ShapeID="_x0000_i1050" DrawAspect="Content" ObjectID="_1512467877" r:id="rId58"/>
              </w:object>
            </w:r>
          </w:p>
        </w:tc>
        <w:bookmarkStart w:id="0" w:name="_GoBack"/>
        <w:bookmarkEnd w:id="0"/>
      </w:tr>
      <w:tr w:rsidR="00276FCA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79">
                <v:shape id="_x0000_i1051" type="#_x0000_t75" style="width:8.6pt;height:14.5pt" o:ole="">
                  <v:imagedata r:id="rId59" o:title=""/>
                </v:shape>
                <o:OLEObject Type="Embed" ProgID="Equation.3" ShapeID="_x0000_i1051" DrawAspect="Content" ObjectID="_1512467878" r:id="rId60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59" w:dyaOrig="360">
                <v:shape id="_x0000_i1052" type="#_x0000_t75" style="width:42.45pt;height:18.25pt" o:ole="">
                  <v:imagedata r:id="rId61" o:title=""/>
                </v:shape>
                <o:OLEObject Type="Embed" ProgID="Equation.3" ShapeID="_x0000_i1052" DrawAspect="Content" ObjectID="_1512467879" r:id="rId62"/>
              </w:object>
            </w:r>
          </w:p>
        </w:tc>
      </w:tr>
      <w:tr w:rsidR="00276FCA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53" type="#_x0000_t75" style="width:10.2pt;height:12.9pt" o:ole="">
                  <v:imagedata r:id="rId63" o:title=""/>
                </v:shape>
                <o:OLEObject Type="Embed" ProgID="Equation.3" ShapeID="_x0000_i1053" DrawAspect="Content" ObjectID="_1512467880" r:id="rId64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59" w:dyaOrig="360">
                <v:shape id="_x0000_i1054" type="#_x0000_t75" style="width:42.45pt;height:18.25pt" o:ole="">
                  <v:imagedata r:id="rId65" o:title=""/>
                </v:shape>
                <o:OLEObject Type="Embed" ProgID="Equation.3" ShapeID="_x0000_i1054" DrawAspect="Content" ObjectID="_1512467881" r:id="rId66"/>
              </w:object>
            </w:r>
          </w:p>
        </w:tc>
      </w:tr>
      <w:tr w:rsidR="000A5A43" w:rsidRPr="00276FCA" w:rsidTr="000A5A43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79">
                <v:shape id="_x0000_i1055" type="#_x0000_t75" style="width:8.6pt;height:14.5pt" o:ole="">
                  <v:imagedata r:id="rId67" o:title=""/>
                </v:shape>
                <o:OLEObject Type="Embed" ProgID="Equation.3" ShapeID="_x0000_i1055" DrawAspect="Content" ObjectID="_1512467882" r:id="rId68"/>
              </w:obje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line="36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80" w:dyaOrig="360">
                <v:shape id="_x0000_i1056" type="#_x0000_t75" style="width:48.9pt;height:18.25pt" o:ole="">
                  <v:imagedata r:id="rId69" o:title=""/>
                </v:shape>
                <o:OLEObject Type="Embed" ProgID="Equation.3" ShapeID="_x0000_i1056" DrawAspect="Content" ObjectID="_1512467883" r:id="rId70"/>
              </w:object>
            </w:r>
            <w:r w:rsidRPr="00276F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Table 2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: Ratios of expressions (B3) entering table 1 calculated for different pairs of the level indices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and </w:t>
      </w:r>
      <w:r w:rsidRPr="00276FCA">
        <w:rPr>
          <w:rFonts w:ascii="Times New Roman" w:hAnsi="Times New Roman" w:cs="Times New Roman"/>
          <w:i/>
          <w:noProof/>
          <w:sz w:val="20"/>
          <w:szCs w:val="20"/>
        </w:rPr>
        <w:t>n+1</w:t>
      </w: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 compared with the ratios of the transition intensity data given by the formulae (B5)-(B9).</w:t>
      </w:r>
    </w:p>
    <w:p w:rsidR="00E36C31" w:rsidRPr="00276FCA" w:rsidRDefault="00E36C31" w:rsidP="00276FCA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76FCA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260"/>
        <w:gridCol w:w="1620"/>
        <w:gridCol w:w="2395"/>
        <w:gridCol w:w="2030"/>
      </w:tblGrid>
      <w:tr w:rsidR="00276FCA" w:rsidRPr="00276FCA" w:rsidTr="00901FF0">
        <w:trPr>
          <w:trHeight w:val="11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</w:pPr>
          </w:p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position w:val="-6"/>
                <w:sz w:val="20"/>
                <w:szCs w:val="20"/>
              </w:rPr>
            </w:pPr>
          </w:p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n+1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>Indices ratio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>Ratios of expressions (B3)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Ratios of probabilities from the </w:t>
            </w:r>
            <w:proofErr w:type="spellStart"/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>eqs</w:t>
            </w:r>
            <w:proofErr w:type="spellEnd"/>
            <w:r w:rsidRPr="00276FCA">
              <w:rPr>
                <w:rFonts w:ascii="Times New Roman" w:hAnsi="Times New Roman" w:cs="Times New Roman"/>
                <w:b/>
                <w:sz w:val="20"/>
                <w:szCs w:val="20"/>
              </w:rPr>
              <w:t>. (B5)-(B9)</w:t>
            </w:r>
          </w:p>
        </w:tc>
      </w:tr>
      <w:tr w:rsidR="00276FCA" w:rsidRPr="00276FCA" w:rsidTr="00901FF0">
        <w:trPr>
          <w:trHeight w:val="498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39" w:dyaOrig="260">
                <v:shape id="_x0000_i1057" type="#_x0000_t75" style="width:6.45pt;height:12.9pt" o:ole="">
                  <v:imagedata r:id="rId71" o:title=""/>
                </v:shape>
                <o:OLEObject Type="Embed" ProgID="Equation.3" ShapeID="_x0000_i1057" DrawAspect="Content" ObjectID="_1512467884" r:id="rId72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58" type="#_x0000_t75" style="width:10.2pt;height:12.9pt" o:ole="">
                  <v:imagedata r:id="rId73" o:title=""/>
                </v:shape>
                <o:OLEObject Type="Embed" ProgID="Equation.3" ShapeID="_x0000_i1058" DrawAspect="Content" ObjectID="_1512467885" r:id="rId74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00" w:dyaOrig="279">
                <v:shape id="_x0000_i1059" type="#_x0000_t75" style="width:20.4pt;height:14.5pt" o:ole="">
                  <v:imagedata r:id="rId75" o:title=""/>
                </v:shape>
                <o:OLEObject Type="Embed" ProgID="Equation.3" ShapeID="_x0000_i1059" DrawAspect="Content" ObjectID="_1512467886" r:id="rId76"/>
              </w:objec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  </w:t>
            </w: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60" w:dyaOrig="360">
                <v:shape id="_x0000_i1060" type="#_x0000_t75" style="width:73.05pt;height:18.25pt" o:ole="">
                  <v:imagedata r:id="rId77" o:title=""/>
                </v:shape>
                <o:OLEObject Type="Embed" ProgID="Equation.3" ShapeID="_x0000_i1060" DrawAspect="Content" ObjectID="_1512467887" r:id="rId78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700" w:dyaOrig="279">
                <v:shape id="_x0000_i1061" type="#_x0000_t75" style="width:34.95pt;height:14.5pt" o:ole="">
                  <v:imagedata r:id="rId79" o:title=""/>
                </v:shape>
                <o:OLEObject Type="Embed" ProgID="Equation.3" ShapeID="_x0000_i1061" DrawAspect="Content" ObjectID="_1512467888" r:id="rId80"/>
              </w:objec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20">
                <v:shape id="_x0000_i1062" type="#_x0000_t75" style="width:65pt;height:16.1pt" o:ole="">
                  <v:imagedata r:id="rId81" o:title=""/>
                </v:shape>
                <o:OLEObject Type="Embed" ProgID="Equation.DSMT4" ShapeID="_x0000_i1062" DrawAspect="Content" ObjectID="_1512467889" r:id="rId82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700" w:dyaOrig="279">
                <v:shape id="_x0000_i1063" type="#_x0000_t75" style="width:84.35pt;height:14.5pt" o:ole="">
                  <v:imagedata r:id="rId83" o:title=""/>
                </v:shape>
                <o:OLEObject Type="Embed" ProgID="Equation.3" ShapeID="_x0000_i1063" DrawAspect="Content" ObjectID="_1512467890" r:id="rId84"/>
              </w:object>
            </w:r>
          </w:p>
        </w:tc>
      </w:tr>
      <w:tr w:rsidR="00276FCA" w:rsidRPr="00276FCA" w:rsidTr="00901FF0">
        <w:trPr>
          <w:trHeight w:val="73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64" type="#_x0000_t75" style="width:10.2pt;height:12.9pt" o:ole="">
                  <v:imagedata r:id="rId85" o:title=""/>
                </v:shape>
                <o:OLEObject Type="Embed" ProgID="Equation.3" ShapeID="_x0000_i1064" DrawAspect="Content" ObjectID="_1512467891" r:id="rId86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79">
                <v:shape id="_x0000_i1065" type="#_x0000_t75" style="width:8.6pt;height:14.5pt" o:ole="">
                  <v:imagedata r:id="rId87" o:title=""/>
                </v:shape>
                <o:OLEObject Type="Embed" ProgID="Equation.3" ShapeID="_x0000_i1065" DrawAspect="Content" ObjectID="_1512467892" r:id="rId88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40" w:dyaOrig="279">
                <v:shape id="_x0000_i1066" type="#_x0000_t75" style="width:22.05pt;height:14.5pt" o:ole="">
                  <v:imagedata r:id="rId89" o:title=""/>
                </v:shape>
                <o:OLEObject Type="Embed" ProgID="Equation.3" ShapeID="_x0000_i1066" DrawAspect="Content" ObjectID="_1512467893" r:id="rId90"/>
              </w:objec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700" w:dyaOrig="360">
                <v:shape id="_x0000_i1067" type="#_x0000_t75" style="width:84.35pt;height:18.25pt" o:ole="">
                  <v:imagedata r:id="rId91" o:title=""/>
                </v:shape>
                <o:OLEObject Type="Embed" ProgID="Equation.3" ShapeID="_x0000_i1067" DrawAspect="Content" ObjectID="_1512467894" r:id="rId92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680" w:dyaOrig="279">
                <v:shape id="_x0000_i1068" type="#_x0000_t75" style="width:33.85pt;height:14.5pt" o:ole="">
                  <v:imagedata r:id="rId93" o:title=""/>
                </v:shape>
                <o:OLEObject Type="Embed" ProgID="Equation.3" ShapeID="_x0000_i1068" DrawAspect="Content" ObjectID="_1512467895" r:id="rId94"/>
              </w:objec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20">
                <v:shape id="_x0000_i1069" type="#_x0000_t75" style="width:65pt;height:16.1pt" o:ole="">
                  <v:imagedata r:id="rId95" o:title=""/>
                </v:shape>
                <o:OLEObject Type="Embed" ProgID="Equation.DSMT4" ShapeID="_x0000_i1069" DrawAspect="Content" ObjectID="_1512467896" r:id="rId96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700" w:dyaOrig="279">
                <v:shape id="_x0000_i1070" type="#_x0000_t75" style="width:84.35pt;height:14.5pt" o:ole="">
                  <v:imagedata r:id="rId97" o:title=""/>
                </v:shape>
                <o:OLEObject Type="Embed" ProgID="Equation.3" ShapeID="_x0000_i1070" DrawAspect="Content" ObjectID="_1512467897" r:id="rId98"/>
              </w:object>
            </w:r>
          </w:p>
        </w:tc>
      </w:tr>
      <w:tr w:rsidR="00276FCA" w:rsidRPr="00276FCA" w:rsidTr="00901FF0">
        <w:trPr>
          <w:trHeight w:val="73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79">
                <v:shape id="_x0000_i1071" type="#_x0000_t75" style="width:8.6pt;height:14.5pt" o:ole="">
                  <v:imagedata r:id="rId99" o:title=""/>
                </v:shape>
                <o:OLEObject Type="Embed" ProgID="Equation.3" ShapeID="_x0000_i1071" DrawAspect="Content" ObjectID="_1512467898" r:id="rId100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72" type="#_x0000_t75" style="width:10.2pt;height:12.9pt" o:ole="">
                  <v:imagedata r:id="rId101" o:title=""/>
                </v:shape>
                <o:OLEObject Type="Embed" ProgID="Equation.3" ShapeID="_x0000_i1072" DrawAspect="Content" ObjectID="_1512467899" r:id="rId102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40" w:dyaOrig="279">
                <v:shape id="_x0000_i1073" type="#_x0000_t75" style="width:22.05pt;height:14.5pt" o:ole="">
                  <v:imagedata r:id="rId103" o:title=""/>
                </v:shape>
                <o:OLEObject Type="Embed" ProgID="Equation.3" ShapeID="_x0000_i1073" DrawAspect="Content" ObjectID="_1512467900" r:id="rId104"/>
              </w:objec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20" w:dyaOrig="360">
                <v:shape id="_x0000_i1074" type="#_x0000_t75" style="width:90.8pt;height:18.25pt" o:ole="">
                  <v:imagedata r:id="rId105" o:title=""/>
                </v:shape>
                <o:OLEObject Type="Embed" ProgID="Equation.3" ShapeID="_x0000_i1074" DrawAspect="Content" ObjectID="_1512467901" r:id="rId106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680" w:dyaOrig="279">
                <v:shape id="_x0000_i1075" type="#_x0000_t75" style="width:33.85pt;height:14.5pt" o:ole="">
                  <v:imagedata r:id="rId107" o:title=""/>
                </v:shape>
                <o:OLEObject Type="Embed" ProgID="Equation.3" ShapeID="_x0000_i1075" DrawAspect="Content" ObjectID="_1512467902" r:id="rId108"/>
              </w:objec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00" w:dyaOrig="320">
                <v:shape id="_x0000_i1076" type="#_x0000_t75" style="width:65pt;height:16.1pt" o:ole="">
                  <v:imagedata r:id="rId109" o:title=""/>
                </v:shape>
                <o:OLEObject Type="Embed" ProgID="Equation.DSMT4" ShapeID="_x0000_i1076" DrawAspect="Content" ObjectID="_1512467903" r:id="rId110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939" w:dyaOrig="279">
                <v:shape id="_x0000_i1077" type="#_x0000_t75" style="width:97.25pt;height:14.5pt" o:ole="">
                  <v:imagedata r:id="rId111" o:title=""/>
                </v:shape>
                <o:OLEObject Type="Embed" ProgID="Equation.3" ShapeID="_x0000_i1077" DrawAspect="Content" ObjectID="_1512467904" r:id="rId112"/>
              </w:object>
            </w:r>
          </w:p>
        </w:tc>
      </w:tr>
      <w:tr w:rsidR="000A5A43" w:rsidRPr="00276FCA" w:rsidTr="00901FF0">
        <w:trPr>
          <w:trHeight w:val="72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200" w:dyaOrig="260">
                <v:shape id="_x0000_i1078" type="#_x0000_t75" style="width:10.2pt;height:12.9pt" o:ole="">
                  <v:imagedata r:id="rId113" o:title=""/>
                </v:shape>
                <o:OLEObject Type="Embed" ProgID="Equation.3" ShapeID="_x0000_i1078" DrawAspect="Content" ObjectID="_1512467905" r:id="rId114"/>
              </w:obje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79">
                <v:shape id="_x0000_i1079" type="#_x0000_t75" style="width:8.6pt;height:14.5pt" o:ole="">
                  <v:imagedata r:id="rId115" o:title=""/>
                </v:shape>
                <o:OLEObject Type="Embed" ProgID="Equation.3" ShapeID="_x0000_i1079" DrawAspect="Content" ObjectID="_1512467906" r:id="rId116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440" w:dyaOrig="279">
                <v:shape id="_x0000_i1080" type="#_x0000_t75" style="width:22.05pt;height:14.5pt" o:ole="">
                  <v:imagedata r:id="rId117" o:title=""/>
                </v:shape>
                <o:OLEObject Type="Embed" ProgID="Equation.3" ShapeID="_x0000_i1080" DrawAspect="Content" ObjectID="_1512467907" r:id="rId118"/>
              </w:objec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939" w:dyaOrig="360">
                <v:shape id="_x0000_i1081" type="#_x0000_t75" style="width:97.25pt;height:18.25pt" o:ole="">
                  <v:imagedata r:id="rId119" o:title=""/>
                </v:shape>
                <o:OLEObject Type="Embed" ProgID="Equation.3" ShapeID="_x0000_i1081" DrawAspect="Content" ObjectID="_1512467908" r:id="rId120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680" w:dyaOrig="279">
                <v:shape id="_x0000_i1082" type="#_x0000_t75" style="width:33.85pt;height:14.5pt" o:ole="">
                  <v:imagedata r:id="rId121" o:title=""/>
                </v:shape>
                <o:OLEObject Type="Embed" ProgID="Equation.3" ShapeID="_x0000_i1082" DrawAspect="Content" ObjectID="_1512467909" r:id="rId122"/>
              </w:objec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1" w:rsidRPr="00276FCA" w:rsidRDefault="00E36C31" w:rsidP="000A5A43">
            <w:pPr>
              <w:tabs>
                <w:tab w:val="center" w:pos="4800"/>
                <w:tab w:val="right" w:pos="9500"/>
              </w:tabs>
              <w:spacing w:before="60" w:after="60" w:line="36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FCA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80" w:dyaOrig="320">
                <v:shape id="_x0000_i1083" type="#_x0000_t75" style="width:63.95pt;height:16.1pt" o:ole="">
                  <v:imagedata r:id="rId123" o:title=""/>
                </v:shape>
                <o:OLEObject Type="Embed" ProgID="Equation.DSMT4" ShapeID="_x0000_i1083" DrawAspect="Content" ObjectID="_1512467910" r:id="rId124"/>
              </w:object>
            </w:r>
            <w:r w:rsidRPr="00276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160" w:dyaOrig="279">
                <v:shape id="_x0000_i1084" type="#_x0000_t75" style="width:108pt;height:14.5pt" o:ole="">
                  <v:imagedata r:id="rId125" o:title=""/>
                </v:shape>
                <o:OLEObject Type="Embed" ProgID="Equation.3" ShapeID="_x0000_i1084" DrawAspect="Content" ObjectID="_1512467911" r:id="rId126"/>
              </w:object>
            </w:r>
          </w:p>
        </w:tc>
      </w:tr>
    </w:tbl>
    <w:p w:rsidR="00E36C31" w:rsidRPr="00276FCA" w:rsidRDefault="00E36C31" w:rsidP="00276FC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C31" w:rsidRPr="00276FCA" w:rsidRDefault="00E36C31" w:rsidP="00276FC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36C31" w:rsidRPr="00276FCA" w:rsidSect="009351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1DD"/>
    <w:rsid w:val="000A5A43"/>
    <w:rsid w:val="00276FCA"/>
    <w:rsid w:val="005944F9"/>
    <w:rsid w:val="00623653"/>
    <w:rsid w:val="00630818"/>
    <w:rsid w:val="008169AB"/>
    <w:rsid w:val="008C239D"/>
    <w:rsid w:val="009351DD"/>
    <w:rsid w:val="00954A36"/>
    <w:rsid w:val="00AC4353"/>
    <w:rsid w:val="00E36C31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7594C-6229-4669-BB04-59D20DA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1DD"/>
    <w:pPr>
      <w:ind w:firstLine="720"/>
      <w:outlineLvl w:val="1"/>
    </w:pPr>
    <w:rPr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351DD"/>
    <w:rPr>
      <w:rFonts w:ascii="Calibri" w:eastAsia="Times New Roman" w:hAnsi="Calibri" w:cs="Calibri"/>
      <w:b/>
      <w:bCs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1037-270F-4723-8DE3-A15A25E2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vijayclinmed</dc:creator>
  <cp:lastModifiedBy>shyam</cp:lastModifiedBy>
  <cp:revision>11</cp:revision>
  <dcterms:created xsi:type="dcterms:W3CDTF">2015-11-26T08:36:00Z</dcterms:created>
  <dcterms:modified xsi:type="dcterms:W3CDTF">2015-12-24T07:37:00Z</dcterms:modified>
</cp:coreProperties>
</file>